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F0D" w14:textId="77777777" w:rsidR="006C0694" w:rsidRDefault="006C0694" w:rsidP="00C00401"/>
    <w:p w14:paraId="35020520" w14:textId="30B0CB62" w:rsidR="00052C56" w:rsidRPr="00803EB2" w:rsidRDefault="003A5561" w:rsidP="00803EB2">
      <w:pPr>
        <w:pStyle w:val="Nadpis1"/>
      </w:pPr>
      <w:r w:rsidRPr="003A5561">
        <w:t>Další snižování státního důchodu. Vyplatí se raději investovat?</w:t>
      </w:r>
    </w:p>
    <w:p w14:paraId="2EB9ED04" w14:textId="1C87E420" w:rsidR="005E2C7A" w:rsidRDefault="000D46C6" w:rsidP="00896196">
      <w:pPr>
        <w:rPr>
          <w:b/>
          <w:bCs/>
        </w:rPr>
      </w:pPr>
      <w:r w:rsidRPr="000D46C6">
        <w:rPr>
          <w:b/>
          <w:bCs/>
        </w:rPr>
        <w:t>Důchod nás jednou čeká všechny, ale na stát bychom se rozhodně spoléhat neměli. Státní důchod se bude v poměru k průměrným mzdám stále snižovat. Kolik peněz budu na důchod potřebovat? Kolik mám dávat pravidelně stranou? A pomohou mi v tom nějaké finanční produkty?</w:t>
      </w:r>
    </w:p>
    <w:p w14:paraId="76D56E72" w14:textId="77777777" w:rsidR="00B977E2" w:rsidRPr="00537839" w:rsidRDefault="00B977E2" w:rsidP="00B977E2">
      <w:pPr>
        <w:shd w:val="clear" w:color="auto" w:fill="FFFFFF"/>
        <w:textAlignment w:val="baseline"/>
        <w:rPr>
          <w:rFonts w:cstheme="minorHAnsi"/>
        </w:rPr>
      </w:pPr>
      <w:r w:rsidRPr="000E6813">
        <w:rPr>
          <w:rFonts w:cstheme="minorHAnsi"/>
          <w:bdr w:val="none" w:sz="0" w:space="0" w:color="auto" w:frame="1"/>
        </w:rPr>
        <w:t>Ministerstvo financí předložilo vládě návrh zákona, který bude mít dopad na III. </w:t>
      </w:r>
      <w:r>
        <w:rPr>
          <w:rFonts w:cstheme="minorHAnsi"/>
          <w:bdr w:val="none" w:sz="0" w:space="0" w:color="auto" w:frame="1"/>
        </w:rPr>
        <w:t>p</w:t>
      </w:r>
      <w:r w:rsidRPr="000E6813">
        <w:rPr>
          <w:rFonts w:cstheme="minorHAnsi"/>
          <w:bdr w:val="none" w:sz="0" w:space="0" w:color="auto" w:frame="1"/>
        </w:rPr>
        <w:t>ilíř</w:t>
      </w:r>
      <w:r>
        <w:rPr>
          <w:rFonts w:cstheme="minorHAnsi"/>
          <w:bdr w:val="none" w:sz="0" w:space="0" w:color="auto" w:frame="1"/>
        </w:rPr>
        <w:t xml:space="preserve"> penzijního spoření</w:t>
      </w:r>
      <w:r w:rsidRPr="000E6813">
        <w:rPr>
          <w:rFonts w:cstheme="minorHAnsi"/>
          <w:bdr w:val="none" w:sz="0" w:space="0" w:color="auto" w:frame="1"/>
        </w:rPr>
        <w:t xml:space="preserve">. </w:t>
      </w:r>
      <w:r w:rsidRPr="000E6813">
        <w:rPr>
          <w:rFonts w:cstheme="minorHAnsi"/>
        </w:rPr>
        <w:t xml:space="preserve">Za </w:t>
      </w:r>
      <w:r>
        <w:rPr>
          <w:rFonts w:cstheme="minorHAnsi"/>
        </w:rPr>
        <w:t>příspěvky do důchodového pilíře</w:t>
      </w:r>
      <w:r w:rsidRPr="000E6813">
        <w:rPr>
          <w:rFonts w:cstheme="minorHAnsi"/>
        </w:rPr>
        <w:t xml:space="preserve"> si může plátce ročně odečíst až 24 tisíc korun</w:t>
      </w:r>
      <w:r>
        <w:rPr>
          <w:rFonts w:cstheme="minorHAnsi"/>
        </w:rPr>
        <w:t>, pokud ovšem dojde ke schválení novely zákona, může to</w:t>
      </w:r>
      <w:r w:rsidRPr="00CE3E7B">
        <w:rPr>
          <w:rFonts w:cstheme="minorHAnsi"/>
        </w:rPr>
        <w:t xml:space="preserve"> </w:t>
      </w:r>
      <w:r>
        <w:rPr>
          <w:rFonts w:cstheme="minorHAnsi"/>
        </w:rPr>
        <w:t xml:space="preserve">od 1. ledna 2024 být až 48 tisíc korun. </w:t>
      </w:r>
      <w:r>
        <w:rPr>
          <w:rFonts w:cstheme="minorHAnsi"/>
          <w:bdr w:val="none" w:sz="0" w:space="0" w:color="auto" w:frame="1"/>
        </w:rPr>
        <w:t>Vláda tento</w:t>
      </w:r>
      <w:r w:rsidRPr="000E6813">
        <w:rPr>
          <w:rFonts w:cstheme="minorHAnsi"/>
          <w:bdr w:val="none" w:sz="0" w:space="0" w:color="auto" w:frame="1"/>
        </w:rPr>
        <w:t xml:space="preserve"> návrh </w:t>
      </w:r>
      <w:r>
        <w:rPr>
          <w:rFonts w:cstheme="minorHAnsi"/>
          <w:bdr w:val="none" w:sz="0" w:space="0" w:color="auto" w:frame="1"/>
        </w:rPr>
        <w:t xml:space="preserve">schválila </w:t>
      </w:r>
      <w:r w:rsidRPr="000E6813">
        <w:rPr>
          <w:rFonts w:cstheme="minorHAnsi"/>
          <w:bdr w:val="none" w:sz="0" w:space="0" w:color="auto" w:frame="1"/>
        </w:rPr>
        <w:t xml:space="preserve">dne 14. června 2023, stále však může dojít k jeho úpravám v rámci dalšího legislativního procesu. </w:t>
      </w:r>
    </w:p>
    <w:p w14:paraId="74FAFB21" w14:textId="77777777" w:rsidR="00B977E2" w:rsidRDefault="00B977E2" w:rsidP="00B977E2">
      <w:r>
        <w:t>Pokud si chceme začít šetřit na důchod, rázem se před námi vyrojí celá řada otázek. Odpovědi na ně ale nemusí být vůbec složité.</w:t>
      </w:r>
    </w:p>
    <w:p w14:paraId="5B811A98" w14:textId="7433FFA8" w:rsidR="00B977E2" w:rsidRDefault="00B977E2" w:rsidP="00B977E2">
      <w:r>
        <w:t>„</w:t>
      </w:r>
      <w:r>
        <w:rPr>
          <w:i/>
          <w:iCs/>
        </w:rPr>
        <w:t>Ideální je</w:t>
      </w:r>
      <w:r w:rsidRPr="00B53B3A">
        <w:rPr>
          <w:i/>
          <w:iCs/>
        </w:rPr>
        <w:t>, pokud lidé svou situaci prokonzultují s vhodným finančním specialistou</w:t>
      </w:r>
      <w:r w:rsidR="00117323">
        <w:rPr>
          <w:i/>
          <w:iCs/>
        </w:rPr>
        <w:t xml:space="preserve"> v době</w:t>
      </w:r>
      <w:r>
        <w:rPr>
          <w:i/>
          <w:iCs/>
        </w:rPr>
        <w:t xml:space="preserve">, kdy </w:t>
      </w:r>
      <w:r w:rsidRPr="00B53B3A">
        <w:rPr>
          <w:i/>
          <w:iCs/>
        </w:rPr>
        <w:t>mají před důchodem ještě dostatek času</w:t>
      </w:r>
      <w:r>
        <w:t xml:space="preserve">,“ vysvětluje regionální ředitel </w:t>
      </w:r>
      <w:proofErr w:type="spellStart"/>
      <w:r>
        <w:t>FinGO</w:t>
      </w:r>
      <w:proofErr w:type="spellEnd"/>
      <w:r>
        <w:t xml:space="preserve"> Adam Kaška. „</w:t>
      </w:r>
      <w:r w:rsidRPr="00B53B3A">
        <w:rPr>
          <w:i/>
          <w:iCs/>
        </w:rPr>
        <w:t>Většinu z nás čeká důchod až za několik desítek let, a proto je zapotřebí investovat, ne jenom spořit. Spoření a spořící produkty obecně jsou vhodné pouze ke krátkodobému uložení peněz. K dlouhodobým účelům už se ale tolik nehodí. Naopak investování dokáže i v dlouhém časovém horizontu porazit inflaci a peníze nebudou ztrácet na hodnotě</w:t>
      </w:r>
      <w:r>
        <w:t xml:space="preserve">,“ vysvětluje Adam Kaška. </w:t>
      </w:r>
    </w:p>
    <w:p w14:paraId="69B773B4" w14:textId="77777777" w:rsidR="00B977E2" w:rsidRDefault="00B977E2" w:rsidP="00B977E2">
      <w:pPr>
        <w:rPr>
          <w:b/>
          <w:bCs/>
        </w:rPr>
      </w:pPr>
      <w:r>
        <w:rPr>
          <w:b/>
          <w:bCs/>
        </w:rPr>
        <w:t>Jak se dopočítat částky</w:t>
      </w:r>
      <w:r w:rsidRPr="005031B9">
        <w:rPr>
          <w:b/>
          <w:bCs/>
        </w:rPr>
        <w:t>, kterou pravidelně dávat bokem?</w:t>
      </w:r>
    </w:p>
    <w:p w14:paraId="3DDEBD12" w14:textId="77777777" w:rsidR="00B977E2" w:rsidRDefault="00B977E2" w:rsidP="00B977E2">
      <w:r>
        <w:t>Kolik si dávat stranou? Na tuto otázku nelze jednoduše odpovědět, protože nikdo z nás pochopitelně neví, kolika let se dožije. Nicméně podle statistiky lidé stráví v důchodu čtvrtinu svého života. Je zapotřebí odpovědět si na tři otázky:</w:t>
      </w:r>
    </w:p>
    <w:p w14:paraId="25083EF9" w14:textId="77777777" w:rsidR="00B977E2" w:rsidRPr="00B977E2" w:rsidRDefault="00B977E2" w:rsidP="00B977E2">
      <w:pPr>
        <w:pStyle w:val="Odstavecseseznamem"/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B977E2">
        <w:rPr>
          <w:rFonts w:ascii="Open Sans" w:hAnsi="Open Sans" w:cs="Open Sans"/>
        </w:rPr>
        <w:t>Za jak dlouho půjdu do důchodu?</w:t>
      </w:r>
    </w:p>
    <w:p w14:paraId="48648B5B" w14:textId="77777777" w:rsidR="00B977E2" w:rsidRPr="00B977E2" w:rsidRDefault="00B977E2" w:rsidP="00B977E2">
      <w:pPr>
        <w:pStyle w:val="Odstavecseseznamem"/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B977E2">
        <w:rPr>
          <w:rFonts w:ascii="Open Sans" w:hAnsi="Open Sans" w:cs="Open Sans"/>
        </w:rPr>
        <w:t>Jakou měsíční částku si představuji mít v důchodu?</w:t>
      </w:r>
    </w:p>
    <w:p w14:paraId="5443050A" w14:textId="77777777" w:rsidR="00B977E2" w:rsidRPr="00B977E2" w:rsidRDefault="00B977E2" w:rsidP="00B977E2">
      <w:pPr>
        <w:pStyle w:val="Odstavecseseznamem"/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B977E2">
        <w:rPr>
          <w:rFonts w:ascii="Open Sans" w:hAnsi="Open Sans" w:cs="Open Sans"/>
        </w:rPr>
        <w:t>Jak dlouho budu chtít v důchodu čerpat své úspory?</w:t>
      </w:r>
    </w:p>
    <w:p w14:paraId="2A252873" w14:textId="6DCBFE0C" w:rsidR="00B977E2" w:rsidRDefault="00B977E2" w:rsidP="00B977E2">
      <w:r w:rsidRPr="003516C2">
        <w:t xml:space="preserve">Je logické, že samozřejmě nevíme, jaké </w:t>
      </w:r>
      <w:r>
        <w:t>budeme mít životní náklady</w:t>
      </w:r>
      <w:r w:rsidRPr="003516C2">
        <w:t>, až půjdeme do</w:t>
      </w:r>
      <w:r w:rsidR="00E71228">
        <w:t> </w:t>
      </w:r>
      <w:r w:rsidRPr="003516C2">
        <w:t>důchodu.</w:t>
      </w:r>
      <w:r>
        <w:t xml:space="preserve"> To ale neznamená, že nemůžeme pracovat se statistikami. </w:t>
      </w:r>
      <w:r w:rsidRPr="00B5579B">
        <w:t>Při stanovení částky na důchod využijme současn</w:t>
      </w:r>
      <w:r>
        <w:t>ou výši našich nákladů</w:t>
      </w:r>
      <w:r w:rsidRPr="00B5579B">
        <w:t>, kterou pak navýšíme o</w:t>
      </w:r>
      <w:r w:rsidR="00E71228">
        <w:t> </w:t>
      </w:r>
      <w:r w:rsidRPr="00B5579B">
        <w:t>průměrnou inflaci</w:t>
      </w:r>
      <w:r>
        <w:t>, čímž</w:t>
      </w:r>
      <w:r w:rsidRPr="00B5579B">
        <w:t xml:space="preserve"> vyvážíme růst cen. Níže přinášíme orientační přehled částek, které je zapotřebí investovat, abychom mohli po stanovenou dobu čerpat </w:t>
      </w:r>
      <w:r>
        <w:t>ze svých úspor měsíční rentu</w:t>
      </w:r>
      <w:r w:rsidRPr="00B5579B">
        <w:t xml:space="preserve">. Tabulka vyjadřuje období 20 let čerpání renty </w:t>
      </w:r>
      <w:r>
        <w:t xml:space="preserve">a </w:t>
      </w:r>
      <w:r w:rsidRPr="00B5579B">
        <w:t>ukazuje</w:t>
      </w:r>
      <w:r>
        <w:t>,</w:t>
      </w:r>
      <w:r w:rsidRPr="00B5579B">
        <w:t xml:space="preserve"> kolik času ještě </w:t>
      </w:r>
      <w:r>
        <w:t xml:space="preserve">před odchodem do důchodu </w:t>
      </w:r>
      <w:r w:rsidRPr="00B5579B">
        <w:t>máme.</w:t>
      </w:r>
    </w:p>
    <w:p w14:paraId="6E8D991E" w14:textId="2DD76A9E" w:rsidR="00B977E2" w:rsidRPr="001C6BF6" w:rsidRDefault="00B977E2" w:rsidP="00B977E2">
      <w:r w:rsidRPr="001C6BF6">
        <w:t>Pokud nám tedy do důchodu zbývá 10 let a chceme po dobu 20 let pobírat rentu např</w:t>
      </w:r>
      <w:r>
        <w:t>íklad</w:t>
      </w:r>
      <w:r w:rsidRPr="001C6BF6">
        <w:t xml:space="preserve"> 10 000 Kč, musíme si měsíčně odkládat 12 700 korun. Pokud nám do důchodu </w:t>
      </w:r>
      <w:r w:rsidRPr="001C6BF6">
        <w:lastRenderedPageBreak/>
        <w:t>zbývá</w:t>
      </w:r>
      <w:r w:rsidR="00E71228">
        <w:t> </w:t>
      </w:r>
      <w:r w:rsidRPr="001C6BF6">
        <w:t>30</w:t>
      </w:r>
      <w:r w:rsidR="00E71228">
        <w:t> </w:t>
      </w:r>
      <w:r w:rsidRPr="001C6BF6">
        <w:t>let</w:t>
      </w:r>
      <w:r w:rsidR="00E71228">
        <w:t> </w:t>
      </w:r>
      <w:r w:rsidRPr="001C6BF6">
        <w:t xml:space="preserve">a chceme, aby výše měsíční renty po dobu 20 let byla 30 000, musíme bokem dávat 6 900 Kč. </w:t>
      </w:r>
    </w:p>
    <w:p w14:paraId="66655084" w14:textId="3C220BB6" w:rsidR="00712072" w:rsidRDefault="00B977E2" w:rsidP="00C00401">
      <w:r>
        <w:rPr>
          <w:noProof/>
        </w:rPr>
        <w:drawing>
          <wp:anchor distT="0" distB="0" distL="114300" distR="114300" simplePos="0" relativeHeight="251666432" behindDoc="0" locked="0" layoutInCell="1" allowOverlap="1" wp14:anchorId="1FAB060C" wp14:editId="52C03CCB">
            <wp:simplePos x="0" y="0"/>
            <wp:positionH relativeFrom="margin">
              <wp:align>left</wp:align>
            </wp:positionH>
            <wp:positionV relativeFrom="paragraph">
              <wp:posOffset>1550035</wp:posOffset>
            </wp:positionV>
            <wp:extent cx="5762625" cy="3963035"/>
            <wp:effectExtent l="0" t="0" r="9525" b="0"/>
            <wp:wrapTopAndBottom/>
            <wp:docPr id="4704510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BF6">
        <w:t>Z tabulky je patrné, že čím dříve začneme pravidelně investovat, tím méně je zapotřebí odkládat stranou.</w:t>
      </w:r>
      <w:r>
        <w:t xml:space="preserve"> Část těchto peněz pak můžeme </w:t>
      </w:r>
      <w:r w:rsidRPr="00A74CF5">
        <w:t>využít na investování a část se vyplatí vkládat do doplňkové</w:t>
      </w:r>
      <w:r>
        <w:t>ho</w:t>
      </w:r>
      <w:r w:rsidRPr="00A74CF5">
        <w:t xml:space="preserve"> penzijního spoření, díky kterému nyní od státu získáme až 2</w:t>
      </w:r>
      <w:r w:rsidR="00E71228">
        <w:t xml:space="preserve"> </w:t>
      </w:r>
      <w:r w:rsidRPr="00A74CF5">
        <w:t>760 korun ročně (záleží na částce, kterou spoř</w:t>
      </w:r>
      <w:r>
        <w:t>íme</w:t>
      </w:r>
      <w:r w:rsidRPr="00A74CF5">
        <w:t>) a můžeme si ročně odečíst až 24 tisíc korun.</w:t>
      </w:r>
      <w:r>
        <w:t xml:space="preserve"> </w:t>
      </w:r>
      <w:r w:rsidRPr="00A74CF5">
        <w:t xml:space="preserve">Pokud </w:t>
      </w:r>
      <w:r>
        <w:t>v</w:t>
      </w:r>
      <w:r w:rsidRPr="00A74CF5">
        <w:t xml:space="preserve">ám přispívá i zaměstnavatel, tak je to ideální kombinace. </w:t>
      </w:r>
      <w:r>
        <w:t xml:space="preserve">A jestliže stále nevíte, kde a jak začít, neváhejte se obrátit na finančního poradce, který vám nastíní vaše konkrétní možnosti, jak si užít pohodlný důchod bez starostí s penězi. </w:t>
      </w:r>
    </w:p>
    <w:p w14:paraId="57CEC546" w14:textId="05A7D2A5" w:rsidR="00712072" w:rsidRPr="00C00401" w:rsidRDefault="00712072" w:rsidP="00C00401">
      <w:pPr>
        <w:rPr>
          <w:i/>
          <w:iCs/>
          <w:sz w:val="20"/>
          <w:szCs w:val="20"/>
        </w:rPr>
      </w:pPr>
      <w:r w:rsidRPr="00C00401">
        <w:rPr>
          <w:i/>
          <w:iCs/>
          <w:sz w:val="20"/>
          <w:szCs w:val="20"/>
        </w:rPr>
        <w:t xml:space="preserve">O společnosti </w:t>
      </w:r>
      <w:proofErr w:type="spellStart"/>
      <w:r w:rsidRPr="00C00401">
        <w:rPr>
          <w:i/>
          <w:iCs/>
          <w:sz w:val="20"/>
          <w:szCs w:val="20"/>
        </w:rPr>
        <w:t>FinGO</w:t>
      </w:r>
      <w:proofErr w:type="spellEnd"/>
      <w:r w:rsidRPr="00C00401">
        <w:rPr>
          <w:i/>
          <w:iCs/>
          <w:sz w:val="20"/>
          <w:szCs w:val="20"/>
        </w:rPr>
        <w:t>:</w:t>
      </w:r>
    </w:p>
    <w:p w14:paraId="3272E8CB" w14:textId="77777777" w:rsidR="00712072" w:rsidRPr="00C00401" w:rsidRDefault="00712072" w:rsidP="00C00401">
      <w:pPr>
        <w:rPr>
          <w:i/>
          <w:iCs/>
          <w:sz w:val="20"/>
          <w:szCs w:val="20"/>
        </w:rPr>
      </w:pPr>
      <w:r w:rsidRPr="00C00401">
        <w:rPr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3D9DFE2F" w:rsidR="0096059C" w:rsidRPr="00BA0D1B" w:rsidRDefault="00BA5FCA" w:rsidP="00C00401">
      <w:pPr>
        <w:rPr>
          <w:i/>
          <w:iCs/>
          <w:sz w:val="20"/>
          <w:szCs w:val="20"/>
        </w:rPr>
      </w:pPr>
      <w:r w:rsidRPr="007774BA">
        <w:rPr>
          <w:noProof/>
        </w:rPr>
        <w:drawing>
          <wp:anchor distT="0" distB="0" distL="114300" distR="114300" simplePos="0" relativeHeight="251665408" behindDoc="0" locked="0" layoutInCell="1" allowOverlap="1" wp14:anchorId="5942909A" wp14:editId="548C6499">
            <wp:simplePos x="0" y="0"/>
            <wp:positionH relativeFrom="margin">
              <wp:posOffset>5312410</wp:posOffset>
            </wp:positionH>
            <wp:positionV relativeFrom="paragraph">
              <wp:posOffset>1303020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3360" behindDoc="0" locked="0" layoutInCell="1" allowOverlap="1" wp14:anchorId="53045D19" wp14:editId="717779C1">
            <wp:simplePos x="0" y="0"/>
            <wp:positionH relativeFrom="column">
              <wp:posOffset>4767580</wp:posOffset>
            </wp:positionH>
            <wp:positionV relativeFrom="paragraph">
              <wp:posOffset>1303020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1312" behindDoc="0" locked="0" layoutInCell="1" allowOverlap="1" wp14:anchorId="334490BB" wp14:editId="64A616FE">
            <wp:simplePos x="0" y="0"/>
            <wp:positionH relativeFrom="margin">
              <wp:posOffset>4072255</wp:posOffset>
            </wp:positionH>
            <wp:positionV relativeFrom="paragraph">
              <wp:posOffset>1303020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59264" behindDoc="0" locked="0" layoutInCell="1" allowOverlap="1" wp14:anchorId="5BD6DE5E" wp14:editId="595DB4F6">
            <wp:simplePos x="0" y="0"/>
            <wp:positionH relativeFrom="margin">
              <wp:posOffset>3719830</wp:posOffset>
            </wp:positionH>
            <wp:positionV relativeFrom="paragraph">
              <wp:posOffset>1303020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C00401">
        <w:rPr>
          <w:i/>
          <w:iCs/>
          <w:sz w:val="20"/>
          <w:szCs w:val="20"/>
        </w:rPr>
        <w:t xml:space="preserve">Společnost </w:t>
      </w:r>
      <w:proofErr w:type="spellStart"/>
      <w:r w:rsidR="00712072" w:rsidRPr="00C00401">
        <w:rPr>
          <w:i/>
          <w:iCs/>
          <w:sz w:val="20"/>
          <w:szCs w:val="20"/>
        </w:rPr>
        <w:t>FinGO</w:t>
      </w:r>
      <w:proofErr w:type="spellEnd"/>
      <w:r w:rsidR="00712072" w:rsidRPr="00C00401">
        <w:rPr>
          <w:i/>
          <w:iCs/>
          <w:sz w:val="20"/>
          <w:szCs w:val="20"/>
        </w:rPr>
        <w:t xml:space="preserve"> je součástí lokální investiční skupiny </w:t>
      </w:r>
      <w:proofErr w:type="spellStart"/>
      <w:r w:rsidR="00712072" w:rsidRPr="00C00401">
        <w:rPr>
          <w:i/>
          <w:iCs/>
          <w:sz w:val="20"/>
          <w:szCs w:val="20"/>
        </w:rPr>
        <w:t>InTeFi</w:t>
      </w:r>
      <w:proofErr w:type="spellEnd"/>
      <w:r w:rsidR="00712072" w:rsidRPr="00C00401">
        <w:rPr>
          <w:i/>
          <w:iCs/>
          <w:sz w:val="20"/>
          <w:szCs w:val="20"/>
        </w:rPr>
        <w:t xml:space="preserve"> </w:t>
      </w:r>
      <w:proofErr w:type="spellStart"/>
      <w:r w:rsidR="00712072" w:rsidRPr="00C00401">
        <w:rPr>
          <w:i/>
          <w:iCs/>
          <w:sz w:val="20"/>
          <w:szCs w:val="20"/>
        </w:rPr>
        <w:t>Capital</w:t>
      </w:r>
      <w:proofErr w:type="spellEnd"/>
      <w:r w:rsidR="00712072" w:rsidRPr="00C00401">
        <w:rPr>
          <w:i/>
          <w:iCs/>
          <w:sz w:val="20"/>
          <w:szCs w:val="20"/>
        </w:rPr>
        <w:t xml:space="preserve"> podnikatele a investora Lukáše Nováka. Skupina vlastní a řídí české a slovenské společnosti z oblastí informačních technologií, financí, a </w:t>
      </w:r>
      <w:proofErr w:type="spellStart"/>
      <w:r w:rsidR="00712072" w:rsidRPr="00C00401">
        <w:rPr>
          <w:i/>
          <w:iCs/>
          <w:sz w:val="20"/>
          <w:szCs w:val="20"/>
        </w:rPr>
        <w:t>real</w:t>
      </w:r>
      <w:proofErr w:type="spellEnd"/>
      <w:r w:rsidR="00712072" w:rsidRPr="00C00401">
        <w:rPr>
          <w:i/>
          <w:iCs/>
          <w:sz w:val="20"/>
          <w:szCs w:val="20"/>
        </w:rPr>
        <w:t xml:space="preserve"> </w:t>
      </w:r>
      <w:proofErr w:type="spellStart"/>
      <w:r w:rsidR="00712072" w:rsidRPr="00C00401">
        <w:rPr>
          <w:i/>
          <w:iCs/>
          <w:sz w:val="20"/>
          <w:szCs w:val="20"/>
        </w:rPr>
        <w:t>estate</w:t>
      </w:r>
      <w:proofErr w:type="spellEnd"/>
      <w:r w:rsidR="00712072" w:rsidRPr="00C00401">
        <w:rPr>
          <w:i/>
          <w:iCs/>
          <w:sz w:val="20"/>
          <w:szCs w:val="20"/>
        </w:rPr>
        <w:t xml:space="preserve"> developmentu. Podíl vlastní například v technologické skupině </w:t>
      </w:r>
      <w:proofErr w:type="spellStart"/>
      <w:r w:rsidR="00712072" w:rsidRPr="00C00401">
        <w:rPr>
          <w:i/>
          <w:iCs/>
          <w:sz w:val="20"/>
          <w:szCs w:val="20"/>
        </w:rPr>
        <w:t>BiQ</w:t>
      </w:r>
      <w:proofErr w:type="spellEnd"/>
      <w:r w:rsidR="00712072" w:rsidRPr="00C00401">
        <w:rPr>
          <w:i/>
          <w:iCs/>
          <w:sz w:val="20"/>
          <w:szCs w:val="20"/>
        </w:rPr>
        <w:t xml:space="preserve">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BA0D1B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6352" w14:textId="77777777" w:rsidR="00B1126A" w:rsidRDefault="00B1126A" w:rsidP="00C00401">
      <w:r>
        <w:separator/>
      </w:r>
    </w:p>
  </w:endnote>
  <w:endnote w:type="continuationSeparator" w:id="0">
    <w:p w14:paraId="72271673" w14:textId="77777777" w:rsidR="00B1126A" w:rsidRDefault="00B1126A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A415" w14:textId="77777777" w:rsidR="00B1126A" w:rsidRDefault="00B1126A" w:rsidP="00C00401">
      <w:r>
        <w:separator/>
      </w:r>
    </w:p>
  </w:footnote>
  <w:footnote w:type="continuationSeparator" w:id="0">
    <w:p w14:paraId="6545AD6D" w14:textId="77777777" w:rsidR="00B1126A" w:rsidRDefault="00B1126A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BA8"/>
    <w:multiLevelType w:val="hybridMultilevel"/>
    <w:tmpl w:val="BAEEE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1946"/>
    <w:multiLevelType w:val="hybridMultilevel"/>
    <w:tmpl w:val="FC2CD8E0"/>
    <w:lvl w:ilvl="0" w:tplc="5FC4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2"/>
  </w:num>
  <w:num w:numId="2" w16cid:durableId="701903472">
    <w:abstractNumId w:val="1"/>
  </w:num>
  <w:num w:numId="3" w16cid:durableId="168312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73D8"/>
    <w:rsid w:val="00010B20"/>
    <w:rsid w:val="000460C4"/>
    <w:rsid w:val="00052C56"/>
    <w:rsid w:val="00065953"/>
    <w:rsid w:val="00073C2D"/>
    <w:rsid w:val="000841E0"/>
    <w:rsid w:val="000962CF"/>
    <w:rsid w:val="000D46C6"/>
    <w:rsid w:val="000E0D1B"/>
    <w:rsid w:val="00112643"/>
    <w:rsid w:val="00114A22"/>
    <w:rsid w:val="00117323"/>
    <w:rsid w:val="00136991"/>
    <w:rsid w:val="00145A00"/>
    <w:rsid w:val="00147D91"/>
    <w:rsid w:val="00155502"/>
    <w:rsid w:val="00160E3C"/>
    <w:rsid w:val="001653DF"/>
    <w:rsid w:val="001726F3"/>
    <w:rsid w:val="001A21A3"/>
    <w:rsid w:val="001B4EA0"/>
    <w:rsid w:val="001C1F70"/>
    <w:rsid w:val="001D588D"/>
    <w:rsid w:val="001D7147"/>
    <w:rsid w:val="001E6AB9"/>
    <w:rsid w:val="002049BE"/>
    <w:rsid w:val="00204ED4"/>
    <w:rsid w:val="00217E22"/>
    <w:rsid w:val="00231DFA"/>
    <w:rsid w:val="00233E02"/>
    <w:rsid w:val="00245AAA"/>
    <w:rsid w:val="00287DF5"/>
    <w:rsid w:val="002A62CB"/>
    <w:rsid w:val="002F5FAF"/>
    <w:rsid w:val="003760BD"/>
    <w:rsid w:val="003A5561"/>
    <w:rsid w:val="003B238C"/>
    <w:rsid w:val="003B23D1"/>
    <w:rsid w:val="003E5D6E"/>
    <w:rsid w:val="003F20AC"/>
    <w:rsid w:val="00465D61"/>
    <w:rsid w:val="00466237"/>
    <w:rsid w:val="004741F4"/>
    <w:rsid w:val="004866AD"/>
    <w:rsid w:val="004907BA"/>
    <w:rsid w:val="005002F0"/>
    <w:rsid w:val="00542979"/>
    <w:rsid w:val="00583C0E"/>
    <w:rsid w:val="005970E4"/>
    <w:rsid w:val="005A3AF4"/>
    <w:rsid w:val="005B2544"/>
    <w:rsid w:val="005D0859"/>
    <w:rsid w:val="005D5F6D"/>
    <w:rsid w:val="005E2C7A"/>
    <w:rsid w:val="00633335"/>
    <w:rsid w:val="00671152"/>
    <w:rsid w:val="006A1252"/>
    <w:rsid w:val="006A1663"/>
    <w:rsid w:val="006A6E08"/>
    <w:rsid w:val="006B3147"/>
    <w:rsid w:val="006C0694"/>
    <w:rsid w:val="00712072"/>
    <w:rsid w:val="007570DA"/>
    <w:rsid w:val="00775798"/>
    <w:rsid w:val="007774BA"/>
    <w:rsid w:val="00792601"/>
    <w:rsid w:val="0079453F"/>
    <w:rsid w:val="0079C103"/>
    <w:rsid w:val="007A0EAA"/>
    <w:rsid w:val="007A5EA9"/>
    <w:rsid w:val="007B0B03"/>
    <w:rsid w:val="007D7647"/>
    <w:rsid w:val="007F4550"/>
    <w:rsid w:val="00803EB2"/>
    <w:rsid w:val="008118A6"/>
    <w:rsid w:val="008435B7"/>
    <w:rsid w:val="00863DB8"/>
    <w:rsid w:val="008769C2"/>
    <w:rsid w:val="00886361"/>
    <w:rsid w:val="00896196"/>
    <w:rsid w:val="0089657F"/>
    <w:rsid w:val="008A6C2D"/>
    <w:rsid w:val="008B3101"/>
    <w:rsid w:val="008D6DA3"/>
    <w:rsid w:val="008E4261"/>
    <w:rsid w:val="008F1B78"/>
    <w:rsid w:val="008F4BB2"/>
    <w:rsid w:val="008F7DD5"/>
    <w:rsid w:val="00900CC8"/>
    <w:rsid w:val="00912EE6"/>
    <w:rsid w:val="00921DD5"/>
    <w:rsid w:val="00942094"/>
    <w:rsid w:val="0096059C"/>
    <w:rsid w:val="009675DB"/>
    <w:rsid w:val="009726B3"/>
    <w:rsid w:val="009A6856"/>
    <w:rsid w:val="009B404E"/>
    <w:rsid w:val="009B6497"/>
    <w:rsid w:val="009C33BB"/>
    <w:rsid w:val="009C582A"/>
    <w:rsid w:val="00A12266"/>
    <w:rsid w:val="00A25E47"/>
    <w:rsid w:val="00A647F1"/>
    <w:rsid w:val="00AC7B69"/>
    <w:rsid w:val="00B07FD3"/>
    <w:rsid w:val="00B1126A"/>
    <w:rsid w:val="00B13DE2"/>
    <w:rsid w:val="00B21DC7"/>
    <w:rsid w:val="00B33F2B"/>
    <w:rsid w:val="00B417EB"/>
    <w:rsid w:val="00B75A21"/>
    <w:rsid w:val="00B94402"/>
    <w:rsid w:val="00B977E2"/>
    <w:rsid w:val="00BA0D1B"/>
    <w:rsid w:val="00BA5FCA"/>
    <w:rsid w:val="00BB4CBA"/>
    <w:rsid w:val="00C00401"/>
    <w:rsid w:val="00C10D7B"/>
    <w:rsid w:val="00C3652F"/>
    <w:rsid w:val="00C5060F"/>
    <w:rsid w:val="00C52D76"/>
    <w:rsid w:val="00C97907"/>
    <w:rsid w:val="00CA2DF4"/>
    <w:rsid w:val="00CA679E"/>
    <w:rsid w:val="00CD7CB4"/>
    <w:rsid w:val="00CF09EA"/>
    <w:rsid w:val="00D0331D"/>
    <w:rsid w:val="00D20C22"/>
    <w:rsid w:val="00D525EB"/>
    <w:rsid w:val="00D742F3"/>
    <w:rsid w:val="00D773A8"/>
    <w:rsid w:val="00DA6895"/>
    <w:rsid w:val="00DA6C50"/>
    <w:rsid w:val="00DD14F7"/>
    <w:rsid w:val="00DF2E9C"/>
    <w:rsid w:val="00E07AB6"/>
    <w:rsid w:val="00E1263A"/>
    <w:rsid w:val="00E21E20"/>
    <w:rsid w:val="00E37F04"/>
    <w:rsid w:val="00E42C22"/>
    <w:rsid w:val="00E50585"/>
    <w:rsid w:val="00E71228"/>
    <w:rsid w:val="00E75A42"/>
    <w:rsid w:val="00EB106F"/>
    <w:rsid w:val="00EE60A2"/>
    <w:rsid w:val="00F13F91"/>
    <w:rsid w:val="00F17089"/>
    <w:rsid w:val="00F17816"/>
    <w:rsid w:val="00F32CCA"/>
    <w:rsid w:val="00F44CAB"/>
    <w:rsid w:val="00F47D7B"/>
    <w:rsid w:val="00F53CB5"/>
    <w:rsid w:val="00F643F8"/>
    <w:rsid w:val="00F76739"/>
    <w:rsid w:val="00FB2B67"/>
    <w:rsid w:val="00FD1005"/>
    <w:rsid w:val="00FD3481"/>
    <w:rsid w:val="00FE09F8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B977E2"/>
    <w:pPr>
      <w:ind w:left="72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facebook.com/fingo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fingocz3140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fingo-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ingo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2CC184-EAA4-4CE1-9931-918640151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9</TotalTime>
  <Pages>2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Jakub Knapp</cp:lastModifiedBy>
  <cp:revision>7</cp:revision>
  <dcterms:created xsi:type="dcterms:W3CDTF">2023-09-25T07:39:00Z</dcterms:created>
  <dcterms:modified xsi:type="dcterms:W3CDTF">2023-09-25T07:47:00Z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